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37B7" w:rsidRDefault="00B737B7"/>
    <w:p w:rsidR="00C02326" w:rsidRDefault="00C02326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176014" w:rsidRPr="00614380" w:rsidTr="00061449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БАШКОРТОСТАН РЕСПУБЛИКА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БЛАГОВЕЩЕН РАЙОНЫ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МУНИЦИПАЛЬ   РАЙОНЫНЫ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ОРЛОВКА АУЫЛ СОВЕТЫ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АУЫЛЫ БИЛӘМӘ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Е ХАКИМИӘТЕ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14380">
              <w:rPr>
                <w:b/>
                <w:bCs/>
                <w:sz w:val="20"/>
                <w:szCs w:val="20"/>
              </w:rPr>
              <w:t>453444,Орловка</w:t>
            </w:r>
            <w:proofErr w:type="gramEnd"/>
            <w:r w:rsidRPr="00614380">
              <w:rPr>
                <w:b/>
                <w:bCs/>
                <w:sz w:val="20"/>
                <w:szCs w:val="20"/>
              </w:rPr>
              <w:t xml:space="preserve"> аулы,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4380">
              <w:rPr>
                <w:b/>
                <w:bCs/>
                <w:sz w:val="20"/>
                <w:szCs w:val="20"/>
              </w:rPr>
              <w:t>Дуслык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380">
              <w:rPr>
                <w:b/>
                <w:bCs/>
                <w:sz w:val="20"/>
                <w:szCs w:val="20"/>
              </w:rPr>
              <w:t>урамы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>, 18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76014" w:rsidRPr="00614380" w:rsidRDefault="00176014" w:rsidP="00061449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381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176014" w:rsidRPr="00614380" w:rsidRDefault="00176014" w:rsidP="00061449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614380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АДМИНИСТРАЦИЯ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СЕЛЬСКОГО ПОСЕЛЕНИЯ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ОРЛОВСКИЙ СЕЛЬСОВЕТ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МУНИЦИПАЛЬНОГО РАЙОНА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БЛАГОВЕЩЕНСКИЙ РАЙОН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 xml:space="preserve">453444, </w:t>
            </w:r>
            <w:proofErr w:type="spellStart"/>
            <w:r w:rsidRPr="00614380">
              <w:rPr>
                <w:b/>
                <w:sz w:val="20"/>
                <w:szCs w:val="20"/>
              </w:rPr>
              <w:t>с.Орловка</w:t>
            </w:r>
            <w:proofErr w:type="spellEnd"/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80">
              <w:rPr>
                <w:b/>
                <w:sz w:val="20"/>
                <w:szCs w:val="20"/>
              </w:rPr>
              <w:t>ул.Дружбы</w:t>
            </w:r>
            <w:proofErr w:type="spellEnd"/>
            <w:r w:rsidRPr="00614380">
              <w:rPr>
                <w:b/>
                <w:sz w:val="20"/>
                <w:szCs w:val="20"/>
              </w:rPr>
              <w:t>, 18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тел. 2-73-25</w:t>
            </w:r>
          </w:p>
        </w:tc>
      </w:tr>
    </w:tbl>
    <w:p w:rsidR="00176014" w:rsidRDefault="00176014" w:rsidP="00176014"/>
    <w:p w:rsidR="00176014" w:rsidRPr="002D410D" w:rsidRDefault="00176014" w:rsidP="00176014">
      <w:pPr>
        <w:rPr>
          <w:b/>
        </w:rPr>
      </w:pPr>
      <w:r w:rsidRPr="002D410D">
        <w:rPr>
          <w:b/>
        </w:rPr>
        <w:t>КАРАР                                                                                                        ПОСТАНОВЛЕНИЕ</w:t>
      </w:r>
    </w:p>
    <w:p w:rsidR="00176014" w:rsidRPr="002D410D" w:rsidRDefault="00176014" w:rsidP="00176014">
      <w:pPr>
        <w:rPr>
          <w:b/>
        </w:rPr>
      </w:pPr>
    </w:p>
    <w:p w:rsidR="00176014" w:rsidRPr="004E37DA" w:rsidRDefault="00176014" w:rsidP="00176014">
      <w:pPr>
        <w:jc w:val="both"/>
        <w:rPr>
          <w:b/>
          <w:sz w:val="28"/>
          <w:szCs w:val="28"/>
        </w:rPr>
      </w:pPr>
      <w:r w:rsidRPr="004150E9">
        <w:rPr>
          <w:rFonts w:ascii="Rom Bsh" w:hAnsi="Rom Bsh"/>
          <w:b/>
          <w:sz w:val="28"/>
          <w:szCs w:val="28"/>
        </w:rPr>
        <w:t>«</w:t>
      </w:r>
      <w:r w:rsidRPr="004150E9">
        <w:rPr>
          <w:b/>
          <w:sz w:val="28"/>
          <w:szCs w:val="28"/>
        </w:rPr>
        <w:t xml:space="preserve">07» ноябрь 2022й.                            № </w:t>
      </w:r>
      <w:r>
        <w:rPr>
          <w:b/>
          <w:sz w:val="28"/>
          <w:szCs w:val="28"/>
        </w:rPr>
        <w:t>42</w:t>
      </w:r>
      <w:r w:rsidRPr="004150E9">
        <w:rPr>
          <w:b/>
          <w:sz w:val="28"/>
          <w:szCs w:val="28"/>
        </w:rPr>
        <w:t xml:space="preserve">                         </w:t>
      </w:r>
      <w:proofErr w:type="gramStart"/>
      <w:r w:rsidRPr="004150E9">
        <w:rPr>
          <w:b/>
          <w:sz w:val="28"/>
          <w:szCs w:val="28"/>
        </w:rPr>
        <w:t xml:space="preserve">   «</w:t>
      </w:r>
      <w:proofErr w:type="gramEnd"/>
      <w:r w:rsidRPr="004150E9">
        <w:rPr>
          <w:b/>
          <w:sz w:val="28"/>
          <w:szCs w:val="28"/>
        </w:rPr>
        <w:t>07» ноября 2022г.</w:t>
      </w:r>
    </w:p>
    <w:p w:rsidR="00C02326" w:rsidRPr="00176014" w:rsidRDefault="00176014" w:rsidP="00176014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  <w:r w:rsidRPr="004E37DA">
        <w:rPr>
          <w:b/>
          <w:sz w:val="28"/>
          <w:szCs w:val="28"/>
        </w:rPr>
        <w:t xml:space="preserve"> </w:t>
      </w:r>
    </w:p>
    <w:p w:rsidR="00186AF8" w:rsidRPr="0084740D" w:rsidRDefault="00186AF8" w:rsidP="00186AF8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84740D" w:rsidRPr="00C02326" w:rsidRDefault="0084740D" w:rsidP="0084740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02326">
        <w:rPr>
          <w:b/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C02326" w:rsidRPr="00C02326">
        <w:rPr>
          <w:rFonts w:eastAsia="Times New Roman"/>
          <w:b/>
          <w:sz w:val="28"/>
          <w:szCs w:val="28"/>
          <w:lang w:eastAsia="ru-RU"/>
        </w:rPr>
        <w:t>Орловский</w:t>
      </w:r>
      <w:r w:rsidR="00C02326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02326">
        <w:rPr>
          <w:rFonts w:eastAsia="Times New Roman"/>
          <w:b/>
          <w:sz w:val="28"/>
          <w:szCs w:val="28"/>
          <w:lang w:eastAsia="ru-RU"/>
        </w:rPr>
        <w:t xml:space="preserve">сельсовет муниципального района </w:t>
      </w:r>
      <w:r w:rsidR="00D14B9E" w:rsidRPr="00C02326">
        <w:rPr>
          <w:rFonts w:eastAsia="Times New Roman"/>
          <w:b/>
          <w:sz w:val="28"/>
          <w:szCs w:val="28"/>
          <w:lang w:eastAsia="ru-RU"/>
        </w:rPr>
        <w:t>Благовещенский</w:t>
      </w:r>
      <w:r w:rsidRPr="00C02326">
        <w:rPr>
          <w:rFonts w:eastAsia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rPr>
          <w:rFonts w:eastAsia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ПОСТАНОВЛЯЮ: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r w:rsidR="00C02326">
        <w:rPr>
          <w:sz w:val="28"/>
          <w:szCs w:val="28"/>
          <w:shd w:val="clear" w:color="auto" w:fill="FFFFFF"/>
        </w:rPr>
        <w:t xml:space="preserve">Орловский </w:t>
      </w:r>
      <w:r w:rsidRPr="0084740D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C02326" w:rsidP="0084740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84740D" w:rsidRPr="0084740D">
        <w:rPr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r>
        <w:rPr>
          <w:sz w:val="28"/>
          <w:szCs w:val="28"/>
          <w:shd w:val="clear" w:color="auto" w:fill="FFFFFF"/>
        </w:rPr>
        <w:t xml:space="preserve">З.А. </w:t>
      </w:r>
      <w:proofErr w:type="spellStart"/>
      <w:r>
        <w:rPr>
          <w:sz w:val="28"/>
          <w:szCs w:val="28"/>
          <w:shd w:val="clear" w:color="auto" w:fill="FFFFFF"/>
        </w:rPr>
        <w:t>Загитова</w:t>
      </w:r>
      <w:proofErr w:type="spellEnd"/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Default="0084740D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Pr="0084740D" w:rsidRDefault="00D14B9E" w:rsidP="0084740D">
      <w:pPr>
        <w:jc w:val="right"/>
        <w:rPr>
          <w:shd w:val="clear" w:color="auto" w:fill="FFFFFF"/>
        </w:rPr>
      </w:pPr>
    </w:p>
    <w:p w:rsidR="00C02326" w:rsidRDefault="00C02326" w:rsidP="00176014">
      <w:pPr>
        <w:rPr>
          <w:sz w:val="20"/>
          <w:szCs w:val="20"/>
          <w:shd w:val="clear" w:color="auto" w:fill="FFFFFF"/>
        </w:rPr>
      </w:pPr>
      <w:bookmarkStart w:id="0" w:name="_GoBack"/>
      <w:bookmarkEnd w:id="0"/>
    </w:p>
    <w:p w:rsidR="00C02326" w:rsidRDefault="00C02326" w:rsidP="0084740D">
      <w:pPr>
        <w:jc w:val="right"/>
        <w:rPr>
          <w:sz w:val="20"/>
          <w:szCs w:val="20"/>
          <w:shd w:val="clear" w:color="auto" w:fill="FFFFFF"/>
        </w:rPr>
      </w:pPr>
    </w:p>
    <w:p w:rsidR="00C02326" w:rsidRDefault="00C02326" w:rsidP="0084740D">
      <w:pPr>
        <w:jc w:val="right"/>
        <w:rPr>
          <w:sz w:val="20"/>
          <w:szCs w:val="20"/>
          <w:shd w:val="clear" w:color="auto" w:fill="FFFFFF"/>
        </w:rPr>
      </w:pPr>
    </w:p>
    <w:p w:rsidR="00C02326" w:rsidRDefault="00C02326" w:rsidP="0084740D">
      <w:pPr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</w:t>
      </w:r>
    </w:p>
    <w:p w:rsidR="00D14B9E" w:rsidRDefault="00D14B9E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Приложение № 1                         </w:t>
      </w:r>
      <w:r w:rsidR="0084740D" w:rsidRPr="0084740D">
        <w:rPr>
          <w:sz w:val="20"/>
          <w:szCs w:val="20"/>
          <w:shd w:val="clear" w:color="auto" w:fill="FFFFFF"/>
        </w:rPr>
        <w:t xml:space="preserve">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к постановлению главы                          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сельского поселения 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C02326">
        <w:rPr>
          <w:rFonts w:cs="Times New Roman"/>
          <w:sz w:val="20"/>
          <w:szCs w:val="20"/>
          <w:shd w:val="clear" w:color="auto" w:fill="FFFFFF"/>
        </w:rPr>
        <w:t>Орловский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D14B9E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 w:rsidR="00C02326">
        <w:rPr>
          <w:rFonts w:eastAsia="Times New Roman"/>
          <w:sz w:val="28"/>
          <w:szCs w:val="28"/>
          <w:lang w:eastAsia="ru-RU"/>
        </w:rPr>
        <w:t>Орловский</w:t>
      </w:r>
      <w:r w:rsidR="00D14B9E">
        <w:rPr>
          <w:rFonts w:eastAsia="Times New Roman"/>
          <w:sz w:val="28"/>
          <w:szCs w:val="28"/>
          <w:lang w:eastAsia="ru-RU"/>
        </w:rPr>
        <w:t xml:space="preserve">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r w:rsidR="00C02326">
        <w:rPr>
          <w:rFonts w:cs="Times New Roman"/>
          <w:sz w:val="28"/>
          <w:szCs w:val="28"/>
          <w:shd w:val="clear" w:color="auto" w:fill="FFFFFF"/>
        </w:rPr>
        <w:t xml:space="preserve">Орловский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8.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концеденту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</w:t>
      </w:r>
      <w:proofErr w:type="gramStart"/>
      <w:r w:rsidRPr="0084740D">
        <w:rPr>
          <w:rFonts w:eastAsia="Times New Roman" w:cs="Times New Roman"/>
          <w:sz w:val="28"/>
          <w:szCs w:val="28"/>
          <w:lang w:eastAsia="ru-RU"/>
        </w:rPr>
        <w:t xml:space="preserve">поселения 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proofErr w:type="gramEnd"/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концедентом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>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14. При передаче полномочий муниципального заказчика юридическим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sectPr w:rsidR="0084740D" w:rsidRPr="0084740D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F9" w:rsidRDefault="000428F9" w:rsidP="00260602">
      <w:r>
        <w:separator/>
      </w:r>
    </w:p>
  </w:endnote>
  <w:endnote w:type="continuationSeparator" w:id="0">
    <w:p w:rsidR="000428F9" w:rsidRDefault="000428F9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F9" w:rsidRDefault="000428F9" w:rsidP="00260602">
      <w:r>
        <w:separator/>
      </w:r>
    </w:p>
  </w:footnote>
  <w:footnote w:type="continuationSeparator" w:id="0">
    <w:p w:rsidR="000428F9" w:rsidRDefault="000428F9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0428F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0428F9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0428F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8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8"/>
  </w:num>
  <w:num w:numId="5">
    <w:abstractNumId w:val="30"/>
  </w:num>
  <w:num w:numId="6">
    <w:abstractNumId w:val="14"/>
  </w:num>
  <w:num w:numId="7">
    <w:abstractNumId w:val="44"/>
  </w:num>
  <w:num w:numId="8">
    <w:abstractNumId w:val="42"/>
  </w:num>
  <w:num w:numId="9">
    <w:abstractNumId w:val="13"/>
  </w:num>
  <w:num w:numId="10">
    <w:abstractNumId w:val="18"/>
  </w:num>
  <w:num w:numId="11">
    <w:abstractNumId w:val="37"/>
  </w:num>
  <w:num w:numId="12">
    <w:abstractNumId w:val="26"/>
  </w:num>
  <w:num w:numId="13">
    <w:abstractNumId w:val="40"/>
  </w:num>
  <w:num w:numId="14">
    <w:abstractNumId w:val="4"/>
  </w:num>
  <w:num w:numId="15">
    <w:abstractNumId w:val="35"/>
  </w:num>
  <w:num w:numId="16">
    <w:abstractNumId w:val="1"/>
  </w:num>
  <w:num w:numId="17">
    <w:abstractNumId w:val="9"/>
  </w:num>
  <w:num w:numId="18">
    <w:abstractNumId w:val="8"/>
  </w:num>
  <w:num w:numId="19">
    <w:abstractNumId w:val="28"/>
  </w:num>
  <w:num w:numId="20">
    <w:abstractNumId w:val="4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9"/>
  </w:num>
  <w:num w:numId="26">
    <w:abstractNumId w:val="3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41"/>
  </w:num>
  <w:num w:numId="31">
    <w:abstractNumId w:val="5"/>
  </w:num>
  <w:num w:numId="32">
    <w:abstractNumId w:val="20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0"/>
  </w:num>
  <w:num w:numId="38">
    <w:abstractNumId w:val="17"/>
  </w:num>
  <w:num w:numId="39">
    <w:abstractNumId w:val="15"/>
  </w:num>
  <w:num w:numId="40">
    <w:abstractNumId w:val="25"/>
  </w:num>
  <w:num w:numId="41">
    <w:abstractNumId w:val="36"/>
  </w:num>
  <w:num w:numId="42">
    <w:abstractNumId w:val="12"/>
  </w:num>
  <w:num w:numId="43">
    <w:abstractNumId w:val="21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428F9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76014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02326"/>
    <w:rsid w:val="00C14CB4"/>
    <w:rsid w:val="00C5191C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076F59"/>
  <w15:docId w15:val="{F2D2EAD8-D1F2-4DB0-9BE7-DBF31A86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B78E-ECCA-4BC8-B897-D5E313C4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2022-11-18T12:00:00Z</cp:lastPrinted>
  <dcterms:created xsi:type="dcterms:W3CDTF">2019-05-16T10:11:00Z</dcterms:created>
  <dcterms:modified xsi:type="dcterms:W3CDTF">2022-11-18T12:00:00Z</dcterms:modified>
</cp:coreProperties>
</file>